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proofErr w:type="gramStart"/>
      <w:r w:rsidR="007C15F2">
        <w:rPr>
          <w:rStyle w:val="a4"/>
          <w:sz w:val="28"/>
          <w:szCs w:val="28"/>
        </w:rPr>
        <w:t xml:space="preserve">ЕДОГОНСКОГО </w:t>
      </w:r>
      <w:r w:rsidRPr="006E0437">
        <w:rPr>
          <w:rStyle w:val="a4"/>
          <w:sz w:val="28"/>
          <w:szCs w:val="28"/>
        </w:rPr>
        <w:t xml:space="preserve"> СЕЛЬСКОГО</w:t>
      </w:r>
      <w:proofErr w:type="gramEnd"/>
      <w:r w:rsidRPr="006E0437">
        <w:rPr>
          <w:rStyle w:val="a4"/>
          <w:sz w:val="28"/>
          <w:szCs w:val="28"/>
        </w:rPr>
        <w:t xml:space="preserve">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7C15F2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</w:t>
      </w:r>
      <w:r w:rsidR="0092518F">
        <w:rPr>
          <w:b/>
          <w:sz w:val="28"/>
          <w:szCs w:val="28"/>
        </w:rPr>
        <w:t>.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11</w:t>
      </w:r>
    </w:p>
    <w:p w:rsidR="000F0716" w:rsidRPr="006E0437" w:rsidRDefault="007C15F2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с.Едогон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7C15F2">
        <w:rPr>
          <w:b/>
          <w:i/>
          <w:sz w:val="28"/>
          <w:szCs w:val="28"/>
        </w:rPr>
        <w:t>Едогонского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 xml:space="preserve">Порядком подготовки и утверждения местных нормативов градостроительного </w:t>
      </w:r>
      <w:proofErr w:type="gramStart"/>
      <w:r w:rsidRPr="004751FF">
        <w:rPr>
          <w:color w:val="000000"/>
          <w:sz w:val="28"/>
        </w:rPr>
        <w:t xml:space="preserve">проектирования  </w:t>
      </w:r>
      <w:r w:rsidR="007C15F2">
        <w:rPr>
          <w:color w:val="000000"/>
          <w:sz w:val="28"/>
        </w:rPr>
        <w:t>Едогонского</w:t>
      </w:r>
      <w:proofErr w:type="gramEnd"/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 w:rsidR="007C15F2">
        <w:rPr>
          <w:color w:val="000000"/>
          <w:sz w:val="28"/>
        </w:rPr>
        <w:t>Едогонского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7C15F2">
        <w:rPr>
          <w:color w:val="000000"/>
          <w:sz w:val="28"/>
        </w:rPr>
        <w:t>11.01.2016г. № 1</w:t>
      </w:r>
      <w:r w:rsidRPr="004751FF">
        <w:rPr>
          <w:color w:val="000000"/>
          <w:sz w:val="28"/>
        </w:rPr>
        <w:t xml:space="preserve">, 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15F2">
        <w:rPr>
          <w:sz w:val="28"/>
          <w:szCs w:val="28"/>
        </w:rPr>
        <w:t>Едогонского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7C15F2">
        <w:rPr>
          <w:sz w:val="28"/>
          <w:szCs w:val="28"/>
        </w:rPr>
        <w:t>Едогонского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D46D9" w:rsidP="00863B87">
      <w:pPr>
        <w:ind w:right="-1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>
        <w:rPr>
          <w:sz w:val="28"/>
          <w:szCs w:val="28"/>
        </w:rPr>
        <w:t xml:space="preserve">1. </w:t>
      </w:r>
      <w:r w:rsidR="00C1596B">
        <w:rPr>
          <w:sz w:val="28"/>
          <w:szCs w:val="28"/>
        </w:rPr>
        <w:t>Внести изменения</w:t>
      </w:r>
      <w:r w:rsidR="004751FF">
        <w:rPr>
          <w:sz w:val="28"/>
          <w:szCs w:val="28"/>
        </w:rPr>
        <w:t xml:space="preserve"> в местные нормативы градостроительного проектирования </w:t>
      </w:r>
      <w:r w:rsidR="00863B87">
        <w:rPr>
          <w:sz w:val="28"/>
          <w:szCs w:val="28"/>
        </w:rPr>
        <w:t>Едогонского</w:t>
      </w:r>
      <w:r w:rsidR="00970361" w:rsidRPr="00970361">
        <w:rPr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sz w:val="28"/>
          <w:szCs w:val="28"/>
        </w:rPr>
        <w:t xml:space="preserve">, </w:t>
      </w:r>
      <w:r w:rsidR="00970361" w:rsidRPr="00970361">
        <w:rPr>
          <w:sz w:val="28"/>
          <w:szCs w:val="28"/>
        </w:rPr>
        <w:t xml:space="preserve">утвержденные решением Думы </w:t>
      </w:r>
      <w:r w:rsidR="00863B87">
        <w:rPr>
          <w:sz w:val="28"/>
          <w:szCs w:val="28"/>
        </w:rPr>
        <w:t xml:space="preserve">Едогонского </w:t>
      </w:r>
      <w:r w:rsidR="00970361" w:rsidRPr="00970361">
        <w:rPr>
          <w:sz w:val="28"/>
          <w:szCs w:val="28"/>
        </w:rPr>
        <w:t xml:space="preserve">сельского поселения от </w:t>
      </w:r>
      <w:r w:rsidR="00863B87" w:rsidRPr="00863B87">
        <w:rPr>
          <w:sz w:val="28"/>
          <w:szCs w:val="28"/>
        </w:rPr>
        <w:t xml:space="preserve">20 октября </w:t>
      </w:r>
      <w:proofErr w:type="gramStart"/>
      <w:r w:rsidR="00863B87" w:rsidRPr="00863B87">
        <w:rPr>
          <w:sz w:val="28"/>
          <w:szCs w:val="28"/>
        </w:rPr>
        <w:t>2016  №</w:t>
      </w:r>
      <w:proofErr w:type="gramEnd"/>
      <w:r w:rsidR="00863B87" w:rsidRPr="00863B87">
        <w:rPr>
          <w:sz w:val="28"/>
          <w:szCs w:val="28"/>
        </w:rPr>
        <w:t>28</w:t>
      </w:r>
      <w:r w:rsidR="00C1596B">
        <w:rPr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proofErr w:type="spellStart"/>
      <w:r w:rsidR="00863B87" w:rsidRPr="00863B87">
        <w:rPr>
          <w:sz w:val="28"/>
          <w:szCs w:val="28"/>
        </w:rPr>
        <w:t>Едогонский</w:t>
      </w:r>
      <w:proofErr w:type="spellEnd"/>
      <w:r w:rsidR="000F0716" w:rsidRPr="00863B87">
        <w:rPr>
          <w:sz w:val="28"/>
          <w:szCs w:val="28"/>
        </w:rPr>
        <w:t xml:space="preserve"> вестник</w:t>
      </w:r>
      <w:r w:rsidR="000F0716">
        <w:rPr>
          <w:sz w:val="28"/>
          <w:szCs w:val="28"/>
        </w:rPr>
        <w:t xml:space="preserve">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863B87">
        <w:rPr>
          <w:sz w:val="28"/>
          <w:szCs w:val="28"/>
        </w:rPr>
        <w:t>Едогонского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bookmarkEnd w:id="0"/>
    <w:p w:rsidR="006B388E" w:rsidRDefault="006B388E" w:rsidP="008522B7">
      <w:pPr>
        <w:jc w:val="both"/>
        <w:rPr>
          <w:sz w:val="28"/>
          <w:szCs w:val="28"/>
        </w:rPr>
      </w:pPr>
    </w:p>
    <w:p w:rsidR="00863B87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863B87">
        <w:rPr>
          <w:sz w:val="28"/>
          <w:szCs w:val="28"/>
        </w:rPr>
        <w:t xml:space="preserve">Едогонского </w:t>
      </w: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D3133F">
        <w:rPr>
          <w:sz w:val="28"/>
          <w:szCs w:val="28"/>
        </w:rPr>
        <w:t>____________</w:t>
      </w:r>
      <w:r w:rsidRPr="00C60732">
        <w:rPr>
          <w:sz w:val="28"/>
          <w:szCs w:val="28"/>
        </w:rPr>
        <w:t xml:space="preserve"> </w:t>
      </w:r>
      <w:r w:rsidR="00863B87">
        <w:rPr>
          <w:sz w:val="28"/>
          <w:szCs w:val="28"/>
        </w:rPr>
        <w:t xml:space="preserve">    О.Н.Кобрусева</w:t>
      </w: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863B87" w:rsidP="00C1596B">
      <w:pPr>
        <w:jc w:val="right"/>
      </w:pPr>
      <w:r>
        <w:t>Едогонского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863B87">
        <w:t>31.05</w:t>
      </w:r>
      <w:r w:rsidR="00494388">
        <w:t>.2021г.</w:t>
      </w:r>
      <w:r>
        <w:t xml:space="preserve"> №</w:t>
      </w:r>
      <w:r w:rsidR="00494388">
        <w:t xml:space="preserve"> </w:t>
      </w:r>
      <w:r w:rsidR="00863B87">
        <w:t>11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863B87">
        <w:rPr>
          <w:b/>
          <w:caps/>
          <w:sz w:val="28"/>
          <w:szCs w:val="28"/>
        </w:rPr>
        <w:t>ЕДОГОНСКОГО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863B87">
        <w:rPr>
          <w:b/>
          <w:caps/>
          <w:sz w:val="28"/>
          <w:szCs w:val="28"/>
        </w:rPr>
        <w:t>ЕДОГОНСКОГО</w:t>
      </w:r>
      <w:r>
        <w:rPr>
          <w:b/>
          <w:caps/>
          <w:sz w:val="28"/>
          <w:szCs w:val="28"/>
        </w:rPr>
        <w:t xml:space="preserve">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863B87" w:rsidRPr="00863B87">
        <w:rPr>
          <w:b/>
          <w:caps/>
          <w:sz w:val="28"/>
          <w:szCs w:val="28"/>
        </w:rPr>
        <w:t>20 октября</w:t>
      </w:r>
      <w:r w:rsidRPr="00863B87">
        <w:rPr>
          <w:b/>
          <w:caps/>
          <w:sz w:val="28"/>
          <w:szCs w:val="28"/>
        </w:rPr>
        <w:t xml:space="preserve"> 2016 года № </w:t>
      </w:r>
      <w:r w:rsidR="00863B87">
        <w:rPr>
          <w:b/>
          <w:caps/>
          <w:sz w:val="28"/>
          <w:szCs w:val="28"/>
        </w:rPr>
        <w:t>28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4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6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</w:t>
      </w:r>
      <w:proofErr w:type="gramStart"/>
      <w:r w:rsidR="00C1596B" w:rsidRPr="009651E2">
        <w:t xml:space="preserve">проектирования </w:t>
      </w:r>
      <w:r w:rsidR="00C1596B">
        <w:t xml:space="preserve"> </w:t>
      </w:r>
      <w:r w:rsidR="00863B87">
        <w:t>Едогонского</w:t>
      </w:r>
      <w:proofErr w:type="gramEnd"/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 </w:t>
      </w:r>
      <w:r w:rsidR="00FF44F9">
        <w:t xml:space="preserve"> и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863B87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</w:t>
      </w:r>
      <w:r w:rsidRPr="00863B87">
        <w:rPr>
          <w:bCs/>
        </w:rPr>
        <w:t xml:space="preserve">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863B87">
        <w:rPr>
          <w:bCs/>
        </w:rPr>
        <w:t>обеспечены требования</w:t>
      </w:r>
      <w:r w:rsidRPr="00863B87">
        <w:rPr>
          <w:bCs/>
        </w:rPr>
        <w:t>: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863B87">
        <w:rPr>
          <w:bCs/>
        </w:rPr>
        <w:t>- разработк</w:t>
      </w:r>
      <w:r w:rsidR="00D3133F" w:rsidRPr="00863B87">
        <w:rPr>
          <w:bCs/>
        </w:rPr>
        <w:t>а</w:t>
      </w:r>
      <w:r w:rsidRPr="00863B87">
        <w:rPr>
          <w:bCs/>
        </w:rPr>
        <w:t xml:space="preserve"> и утверждение</w:t>
      </w:r>
      <w:r w:rsidRPr="009651E2">
        <w:rPr>
          <w:bCs/>
        </w:rPr>
        <w:t xml:space="preserve">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A96232">
        <w:rPr>
          <w:bCs/>
        </w:rPr>
        <w:t>установлен</w:t>
      </w:r>
      <w:r w:rsidR="00D3133F" w:rsidRPr="00A96232">
        <w:rPr>
          <w:bCs/>
        </w:rPr>
        <w:t>ы</w:t>
      </w:r>
      <w:r w:rsidRPr="00A96232">
        <w:rPr>
          <w:bCs/>
        </w:rPr>
        <w:t xml:space="preserve"> норматив</w:t>
      </w:r>
      <w:r w:rsidR="00D3133F" w:rsidRPr="00A96232">
        <w:rPr>
          <w:bCs/>
        </w:rPr>
        <w:t>ы</w:t>
      </w:r>
      <w:r w:rsidRPr="00A96232">
        <w:rPr>
          <w:bCs/>
        </w:rPr>
        <w:t xml:space="preserve"> и норм</w:t>
      </w:r>
      <w:r w:rsidR="00D3133F" w:rsidRPr="00A96232">
        <w:rPr>
          <w:bCs/>
        </w:rPr>
        <w:t>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</w:t>
      </w:r>
      <w:r w:rsidRPr="00A96232">
        <w:t xml:space="preserve">Российской Федерации, требованием Службы архитектуры Иркутской области, </w:t>
      </w:r>
      <w:proofErr w:type="gramStart"/>
      <w:r w:rsidRPr="00A96232">
        <w:t xml:space="preserve">главой </w:t>
      </w:r>
      <w:r w:rsidR="00A96232" w:rsidRPr="00A96232">
        <w:t xml:space="preserve"> Едогонского</w:t>
      </w:r>
      <w:proofErr w:type="gramEnd"/>
      <w:r w:rsidR="00A96232" w:rsidRPr="00A96232">
        <w:t xml:space="preserve">  </w:t>
      </w:r>
      <w:r w:rsidRPr="00A96232">
        <w:t>с</w:t>
      </w:r>
      <w:r w:rsidRPr="00663452">
        <w:t>ельского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градостроительного проектирования </w:t>
      </w:r>
      <w:r w:rsidR="00A96232">
        <w:t>Едогонского</w:t>
      </w:r>
      <w:r>
        <w:t xml:space="preserve">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A96232">
        <w:t xml:space="preserve">Едогонского </w:t>
      </w:r>
      <w:r w:rsidRPr="00663452">
        <w:t xml:space="preserve">сельского поселения от </w:t>
      </w:r>
      <w:r w:rsidR="00A96232">
        <w:t>20</w:t>
      </w:r>
      <w:r w:rsidRPr="00A96232">
        <w:t xml:space="preserve"> октября 2016 года № 2</w:t>
      </w:r>
      <w:r w:rsidR="00A96232">
        <w:t>8</w:t>
      </w:r>
      <w:r w:rsidRPr="00663452">
        <w:t>»</w:t>
      </w:r>
      <w:r w:rsidR="00BE4CF3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Шерагульского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CE4FA0">
        <w:t>Е</w:t>
      </w:r>
      <w:r w:rsidR="008D3EB4">
        <w:t>догонского</w:t>
      </w:r>
      <w:r w:rsidRPr="001E645D">
        <w:t xml:space="preserve"> сельского поселения</w:t>
      </w:r>
      <w:r w:rsidRPr="009651E2">
        <w:t xml:space="preserve"> от </w:t>
      </w:r>
      <w:r w:rsidR="008D3EB4" w:rsidRPr="008D3EB4">
        <w:t>20</w:t>
      </w:r>
      <w:r w:rsidRPr="008D3EB4">
        <w:t xml:space="preserve"> октября 2016 года № </w:t>
      </w:r>
      <w:r w:rsidR="008D3EB4">
        <w:t>28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</w:t>
      </w:r>
      <w:r w:rsidR="008D3EB4">
        <w:t>Едогонского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8D3EB4">
        <w:t xml:space="preserve">Едогонского </w:t>
      </w:r>
      <w:r w:rsidRPr="001E645D">
        <w:t>сельского поселения.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proofErr w:type="gramStart"/>
      <w:r w:rsidR="008D3EB4">
        <w:t>Едогонского</w:t>
      </w:r>
      <w:r>
        <w:t xml:space="preserve">  </w:t>
      </w:r>
      <w:r w:rsidRPr="00B32A22">
        <w:t>сельского</w:t>
      </w:r>
      <w:proofErr w:type="gramEnd"/>
      <w:r w:rsidRPr="00B32A22">
        <w:t xml:space="preserve"> поселения</w:t>
      </w:r>
      <w:r w:rsidRPr="009651E2">
        <w:t xml:space="preserve"> состоят из: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8D3EB4">
        <w:t>Едогонского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8D3EB4">
        <w:t xml:space="preserve">Едогонского </w:t>
      </w:r>
      <w:r w:rsidR="00C1596B">
        <w:t>сельского поселения</w:t>
      </w:r>
      <w:r w:rsidR="00C1596B" w:rsidRPr="009651E2">
        <w:t>.</w:t>
      </w:r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DD35AA">
        <w:t>пр</w:t>
      </w:r>
      <w:proofErr w:type="spell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6"/>
        <w:gridCol w:w="972"/>
        <w:gridCol w:w="576"/>
        <w:gridCol w:w="693"/>
        <w:gridCol w:w="708"/>
        <w:gridCol w:w="810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6"/>
        <w:gridCol w:w="972"/>
        <w:gridCol w:w="576"/>
        <w:gridCol w:w="693"/>
        <w:gridCol w:w="708"/>
        <w:gridCol w:w="810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5D69AE">
        <w:t>Шерагульского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>
        <w:t>Шерагульского  муниципального образования Тулунского района Иркутской о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33037"/>
    <w:rsid w:val="00462B9B"/>
    <w:rsid w:val="004751FF"/>
    <w:rsid w:val="00494388"/>
    <w:rsid w:val="00502F07"/>
    <w:rsid w:val="00561F81"/>
    <w:rsid w:val="005D69AE"/>
    <w:rsid w:val="00663452"/>
    <w:rsid w:val="006A02DD"/>
    <w:rsid w:val="006B388E"/>
    <w:rsid w:val="007C15F2"/>
    <w:rsid w:val="007C4B53"/>
    <w:rsid w:val="008522B7"/>
    <w:rsid w:val="00863B87"/>
    <w:rsid w:val="00893824"/>
    <w:rsid w:val="008D3EB4"/>
    <w:rsid w:val="00910F3D"/>
    <w:rsid w:val="009204C1"/>
    <w:rsid w:val="0092518F"/>
    <w:rsid w:val="00970361"/>
    <w:rsid w:val="009B0B88"/>
    <w:rsid w:val="00A06083"/>
    <w:rsid w:val="00A96232"/>
    <w:rsid w:val="00B32A22"/>
    <w:rsid w:val="00BE4CF3"/>
    <w:rsid w:val="00C1596B"/>
    <w:rsid w:val="00C622B0"/>
    <w:rsid w:val="00C71037"/>
    <w:rsid w:val="00C8580B"/>
    <w:rsid w:val="00CB7553"/>
    <w:rsid w:val="00CD46D9"/>
    <w:rsid w:val="00CE4FA0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88B0"/>
  <w15:docId w15:val="{FDAA957D-7828-471D-810A-F5B2CF1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2021-05-28T04:59:00Z</cp:lastPrinted>
  <dcterms:created xsi:type="dcterms:W3CDTF">2021-06-07T03:18:00Z</dcterms:created>
  <dcterms:modified xsi:type="dcterms:W3CDTF">2021-06-08T02:56:00Z</dcterms:modified>
</cp:coreProperties>
</file>