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94216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22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сентября</w:t>
      </w:r>
      <w:bookmarkStart w:id="0" w:name="_GoBack"/>
      <w:bookmarkEnd w:id="0"/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94216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36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45EC">
              <w:rPr>
                <w:rFonts w:ascii="Times New Roman" w:hAnsi="Times New Roman" w:cs="Times New Roman"/>
                <w:sz w:val="24"/>
                <w:szCs w:val="24"/>
              </w:rPr>
              <w:t>79817,3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0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24977,7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045EC">
              <w:rPr>
                <w:rFonts w:ascii="Times New Roman" w:hAnsi="Times New Roman" w:cs="Times New Roman"/>
                <w:sz w:val="24"/>
                <w:szCs w:val="24"/>
              </w:rPr>
              <w:t>64762,6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70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15880,9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>41977,5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9608,7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40443,9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>9434,3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7009,9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1294,4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406,7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1294,4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яет 1682,7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694,0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28715,5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–13240,8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>ет 17112,5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–5039,3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>яет 14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71" w:rsidRDefault="00593271" w:rsidP="002957D5">
      <w:pPr>
        <w:spacing w:after="0" w:line="240" w:lineRule="auto"/>
      </w:pPr>
      <w:r>
        <w:separator/>
      </w:r>
    </w:p>
  </w:endnote>
  <w:endnote w:type="continuationSeparator" w:id="0">
    <w:p w:rsidR="00593271" w:rsidRDefault="00593271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71" w:rsidRDefault="00593271" w:rsidP="002957D5">
      <w:pPr>
        <w:spacing w:after="0" w:line="240" w:lineRule="auto"/>
      </w:pPr>
      <w:r>
        <w:separator/>
      </w:r>
    </w:p>
  </w:footnote>
  <w:footnote w:type="continuationSeparator" w:id="0">
    <w:p w:rsidR="00593271" w:rsidRDefault="00593271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7E62"/>
    <w:rsid w:val="00071041"/>
    <w:rsid w:val="00071268"/>
    <w:rsid w:val="000961DA"/>
    <w:rsid w:val="00097CA4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E2CF5"/>
    <w:rsid w:val="008E3CF7"/>
    <w:rsid w:val="008E6F81"/>
    <w:rsid w:val="008E7297"/>
    <w:rsid w:val="0090135D"/>
    <w:rsid w:val="00917EA0"/>
    <w:rsid w:val="0094216E"/>
    <w:rsid w:val="0094217F"/>
    <w:rsid w:val="00994637"/>
    <w:rsid w:val="009B03D9"/>
    <w:rsid w:val="009B5907"/>
    <w:rsid w:val="009C3A1B"/>
    <w:rsid w:val="009D5A56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C3D9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5E29-78E7-45AB-AF1B-013543A7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2023-07-13T07:50:00Z</cp:lastPrinted>
  <dcterms:created xsi:type="dcterms:W3CDTF">2023-10-09T02:50:00Z</dcterms:created>
  <dcterms:modified xsi:type="dcterms:W3CDTF">2023-10-09T02:50:00Z</dcterms:modified>
</cp:coreProperties>
</file>